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B7F" w:rsidRPr="00ED7B7F" w:rsidRDefault="00ED7B7F" w:rsidP="00ED7B7F">
      <w:pPr>
        <w:rPr>
          <w:b/>
          <w:sz w:val="32"/>
        </w:rPr>
      </w:pPr>
      <w:r w:rsidRPr="00ED7B7F">
        <w:rPr>
          <w:b/>
          <w:sz w:val="32"/>
        </w:rPr>
        <w:t>Common Core Fluencies- K-8</w:t>
      </w:r>
    </w:p>
    <w:p w:rsidR="00ED7B7F" w:rsidRDefault="00ED7B7F" w:rsidP="00ED7B7F">
      <w:pPr>
        <w:pStyle w:val="Default"/>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638"/>
        <w:gridCol w:w="6385"/>
      </w:tblGrid>
      <w:tr w:rsidR="00ED7B7F" w:rsidTr="00ED7B7F">
        <w:tblPrEx>
          <w:tblCellMar>
            <w:top w:w="0" w:type="dxa"/>
            <w:bottom w:w="0" w:type="dxa"/>
          </w:tblCellMar>
        </w:tblPrEx>
        <w:trPr>
          <w:trHeight w:val="114"/>
        </w:trPr>
        <w:tc>
          <w:tcPr>
            <w:tcW w:w="1638" w:type="dxa"/>
            <w:tcBorders>
              <w:top w:val="single" w:sz="8" w:space="0" w:color="000000"/>
              <w:left w:val="single" w:sz="8" w:space="0" w:color="000000"/>
              <w:bottom w:val="single" w:sz="8" w:space="0" w:color="000000"/>
              <w:right w:val="single" w:sz="8" w:space="0" w:color="000000"/>
            </w:tcBorders>
          </w:tcPr>
          <w:p w:rsidR="00ED7B7F" w:rsidRPr="00ED7B7F" w:rsidRDefault="00ED7B7F" w:rsidP="00ED7B7F">
            <w:pPr>
              <w:pStyle w:val="ListBullet"/>
              <w:ind w:left="90"/>
              <w:jc w:val="center"/>
              <w:rPr>
                <w:rFonts w:cs="Calibri"/>
                <w:color w:val="000000"/>
                <w:sz w:val="22"/>
                <w:szCs w:val="22"/>
              </w:rPr>
            </w:pPr>
            <w:r w:rsidRPr="00ED7B7F">
              <w:rPr>
                <w:rFonts w:cs="Calibri"/>
                <w:b/>
                <w:bCs/>
                <w:color w:val="000000"/>
                <w:sz w:val="22"/>
                <w:szCs w:val="22"/>
              </w:rPr>
              <w:t>Grade</w:t>
            </w:r>
          </w:p>
        </w:tc>
        <w:tc>
          <w:tcPr>
            <w:tcW w:w="6385" w:type="dxa"/>
            <w:tcBorders>
              <w:top w:val="single" w:sz="8" w:space="0" w:color="000000"/>
              <w:left w:val="single" w:sz="8" w:space="0" w:color="000000"/>
              <w:bottom w:val="single" w:sz="8" w:space="0" w:color="000000"/>
              <w:right w:val="single" w:sz="8" w:space="0" w:color="000000"/>
            </w:tcBorders>
          </w:tcPr>
          <w:p w:rsidR="00ED7B7F" w:rsidRPr="00ED7B7F" w:rsidRDefault="00ED7B7F">
            <w:pPr>
              <w:pStyle w:val="Default"/>
              <w:rPr>
                <w:sz w:val="22"/>
                <w:szCs w:val="22"/>
              </w:rPr>
            </w:pPr>
            <w:r w:rsidRPr="00ED7B7F">
              <w:rPr>
                <w:b/>
                <w:bCs/>
                <w:sz w:val="22"/>
                <w:szCs w:val="22"/>
              </w:rPr>
              <w:t xml:space="preserve">Required Fluency </w:t>
            </w:r>
          </w:p>
        </w:tc>
      </w:tr>
      <w:tr w:rsidR="00ED7B7F" w:rsidTr="00ED7B7F">
        <w:tblPrEx>
          <w:tblCellMar>
            <w:top w:w="0" w:type="dxa"/>
            <w:bottom w:w="0" w:type="dxa"/>
          </w:tblCellMar>
        </w:tblPrEx>
        <w:trPr>
          <w:trHeight w:val="114"/>
        </w:trPr>
        <w:tc>
          <w:tcPr>
            <w:tcW w:w="1638" w:type="dxa"/>
            <w:tcBorders>
              <w:top w:val="single" w:sz="8" w:space="0" w:color="000000"/>
              <w:left w:val="single" w:sz="8" w:space="0" w:color="000000"/>
              <w:bottom w:val="single" w:sz="8" w:space="0" w:color="000000"/>
              <w:right w:val="single" w:sz="8" w:space="0" w:color="000000"/>
            </w:tcBorders>
          </w:tcPr>
          <w:p w:rsidR="00ED7B7F" w:rsidRPr="00ED7B7F" w:rsidRDefault="00ED7B7F">
            <w:pPr>
              <w:pStyle w:val="ListBullet"/>
              <w:spacing w:before="40" w:after="40"/>
              <w:jc w:val="center"/>
              <w:rPr>
                <w:rFonts w:cs="Calibri"/>
                <w:color w:val="000000"/>
                <w:sz w:val="22"/>
                <w:szCs w:val="22"/>
              </w:rPr>
            </w:pPr>
            <w:r w:rsidRPr="00ED7B7F">
              <w:rPr>
                <w:rFonts w:cs="Calibri"/>
                <w:color w:val="000000"/>
                <w:sz w:val="22"/>
                <w:szCs w:val="22"/>
              </w:rPr>
              <w:t xml:space="preserve">K </w:t>
            </w:r>
          </w:p>
        </w:tc>
        <w:tc>
          <w:tcPr>
            <w:tcW w:w="6385" w:type="dxa"/>
            <w:tcBorders>
              <w:top w:val="single" w:sz="8" w:space="0" w:color="000000"/>
              <w:left w:val="single" w:sz="8" w:space="0" w:color="000000"/>
              <w:bottom w:val="single" w:sz="8" w:space="0" w:color="000000"/>
              <w:right w:val="single" w:sz="8" w:space="0" w:color="000000"/>
            </w:tcBorders>
          </w:tcPr>
          <w:p w:rsidR="00ED7B7F" w:rsidRPr="00ED7B7F" w:rsidRDefault="00ED7B7F">
            <w:pPr>
              <w:pStyle w:val="ListBullet"/>
              <w:spacing w:before="40" w:after="40"/>
              <w:rPr>
                <w:rFonts w:cs="Calibri"/>
                <w:color w:val="000000"/>
                <w:sz w:val="22"/>
                <w:szCs w:val="22"/>
              </w:rPr>
            </w:pPr>
            <w:r w:rsidRPr="00ED7B7F">
              <w:rPr>
                <w:rFonts w:cs="Calibri"/>
                <w:color w:val="000000"/>
                <w:sz w:val="22"/>
                <w:szCs w:val="22"/>
              </w:rPr>
              <w:t xml:space="preserve">Add/subtract within 5 </w:t>
            </w:r>
          </w:p>
        </w:tc>
      </w:tr>
      <w:tr w:rsidR="00ED7B7F" w:rsidTr="00ED7B7F">
        <w:tblPrEx>
          <w:tblCellMar>
            <w:top w:w="0" w:type="dxa"/>
            <w:bottom w:w="0" w:type="dxa"/>
          </w:tblCellMar>
        </w:tblPrEx>
        <w:trPr>
          <w:trHeight w:val="114"/>
        </w:trPr>
        <w:tc>
          <w:tcPr>
            <w:tcW w:w="1638" w:type="dxa"/>
            <w:tcBorders>
              <w:top w:val="single" w:sz="8" w:space="0" w:color="000000"/>
              <w:left w:val="single" w:sz="8" w:space="0" w:color="000000"/>
              <w:bottom w:val="single" w:sz="8" w:space="0" w:color="000000"/>
              <w:right w:val="single" w:sz="8" w:space="0" w:color="000000"/>
            </w:tcBorders>
          </w:tcPr>
          <w:p w:rsidR="00ED7B7F" w:rsidRPr="00ED7B7F" w:rsidRDefault="00ED7B7F">
            <w:pPr>
              <w:pStyle w:val="Default"/>
              <w:spacing w:before="40" w:after="40"/>
              <w:jc w:val="center"/>
              <w:rPr>
                <w:sz w:val="22"/>
                <w:szCs w:val="22"/>
              </w:rPr>
            </w:pPr>
            <w:r w:rsidRPr="00ED7B7F">
              <w:rPr>
                <w:sz w:val="22"/>
                <w:szCs w:val="22"/>
              </w:rPr>
              <w:t xml:space="preserve">1 </w:t>
            </w:r>
          </w:p>
        </w:tc>
        <w:tc>
          <w:tcPr>
            <w:tcW w:w="6385" w:type="dxa"/>
            <w:tcBorders>
              <w:top w:val="single" w:sz="8" w:space="0" w:color="000000"/>
              <w:left w:val="single" w:sz="8" w:space="0" w:color="000000"/>
              <w:bottom w:val="single" w:sz="8" w:space="0" w:color="000000"/>
              <w:right w:val="single" w:sz="8" w:space="0" w:color="000000"/>
            </w:tcBorders>
          </w:tcPr>
          <w:p w:rsidR="00ED7B7F" w:rsidRPr="00ED7B7F" w:rsidRDefault="00ED7B7F">
            <w:pPr>
              <w:pStyle w:val="Default"/>
              <w:spacing w:before="40" w:after="40"/>
              <w:rPr>
                <w:sz w:val="22"/>
                <w:szCs w:val="22"/>
              </w:rPr>
            </w:pPr>
            <w:r w:rsidRPr="00ED7B7F">
              <w:rPr>
                <w:sz w:val="22"/>
                <w:szCs w:val="22"/>
              </w:rPr>
              <w:t xml:space="preserve">Add/subtract within 10 </w:t>
            </w:r>
          </w:p>
        </w:tc>
      </w:tr>
      <w:tr w:rsidR="00ED7B7F" w:rsidTr="00ED7B7F">
        <w:tblPrEx>
          <w:tblCellMar>
            <w:top w:w="0" w:type="dxa"/>
            <w:bottom w:w="0" w:type="dxa"/>
          </w:tblCellMar>
        </w:tblPrEx>
        <w:trPr>
          <w:trHeight w:val="272"/>
        </w:trPr>
        <w:tc>
          <w:tcPr>
            <w:tcW w:w="1638" w:type="dxa"/>
            <w:tcBorders>
              <w:top w:val="single" w:sz="8" w:space="0" w:color="000000"/>
              <w:left w:val="single" w:sz="8" w:space="0" w:color="000000"/>
              <w:bottom w:val="single" w:sz="8" w:space="0" w:color="000000"/>
              <w:right w:val="single" w:sz="8" w:space="0" w:color="000000"/>
            </w:tcBorders>
          </w:tcPr>
          <w:p w:rsidR="00ED7B7F" w:rsidRPr="00ED7B7F" w:rsidRDefault="00ED7B7F">
            <w:pPr>
              <w:pStyle w:val="Default"/>
              <w:spacing w:before="40" w:after="40"/>
              <w:jc w:val="center"/>
              <w:rPr>
                <w:sz w:val="22"/>
                <w:szCs w:val="22"/>
              </w:rPr>
            </w:pPr>
            <w:r w:rsidRPr="00ED7B7F">
              <w:rPr>
                <w:sz w:val="22"/>
                <w:szCs w:val="22"/>
              </w:rPr>
              <w:t xml:space="preserve">2 </w:t>
            </w:r>
          </w:p>
        </w:tc>
        <w:tc>
          <w:tcPr>
            <w:tcW w:w="6385" w:type="dxa"/>
            <w:tcBorders>
              <w:top w:val="single" w:sz="8" w:space="0" w:color="000000"/>
              <w:left w:val="single" w:sz="8" w:space="0" w:color="000000"/>
              <w:bottom w:val="single" w:sz="8" w:space="0" w:color="000000"/>
              <w:right w:val="single" w:sz="8" w:space="0" w:color="000000"/>
            </w:tcBorders>
          </w:tcPr>
          <w:p w:rsidR="00ED7B7F" w:rsidRPr="00ED7B7F" w:rsidRDefault="00ED7B7F">
            <w:pPr>
              <w:pStyle w:val="Default"/>
              <w:spacing w:before="40" w:after="40"/>
              <w:rPr>
                <w:sz w:val="22"/>
                <w:szCs w:val="22"/>
              </w:rPr>
            </w:pPr>
            <w:r w:rsidRPr="00ED7B7F">
              <w:rPr>
                <w:sz w:val="22"/>
                <w:szCs w:val="22"/>
              </w:rPr>
              <w:t>Add/subtract within 20</w:t>
            </w:r>
            <w:r w:rsidRPr="00ED7B7F">
              <w:rPr>
                <w:sz w:val="22"/>
                <w:szCs w:val="22"/>
                <w:vertAlign w:val="superscript"/>
              </w:rPr>
              <w:t>1</w:t>
            </w:r>
            <w:r w:rsidRPr="00ED7B7F">
              <w:rPr>
                <w:sz w:val="22"/>
                <w:szCs w:val="22"/>
              </w:rPr>
              <w:t xml:space="preserve"> </w:t>
            </w:r>
          </w:p>
          <w:p w:rsidR="00ED7B7F" w:rsidRPr="00ED7B7F" w:rsidRDefault="00ED7B7F">
            <w:pPr>
              <w:pStyle w:val="Default"/>
              <w:spacing w:before="40" w:after="40"/>
              <w:rPr>
                <w:sz w:val="22"/>
                <w:szCs w:val="22"/>
              </w:rPr>
            </w:pPr>
            <w:r w:rsidRPr="00ED7B7F">
              <w:rPr>
                <w:sz w:val="22"/>
                <w:szCs w:val="22"/>
              </w:rPr>
              <w:t xml:space="preserve">Add/subtract within 100 (pencil and paper) </w:t>
            </w:r>
          </w:p>
        </w:tc>
      </w:tr>
      <w:tr w:rsidR="00ED7B7F" w:rsidTr="00ED7B7F">
        <w:tblPrEx>
          <w:tblCellMar>
            <w:top w:w="0" w:type="dxa"/>
            <w:bottom w:w="0" w:type="dxa"/>
          </w:tblCellMar>
        </w:tblPrEx>
        <w:trPr>
          <w:trHeight w:val="272"/>
        </w:trPr>
        <w:tc>
          <w:tcPr>
            <w:tcW w:w="1638" w:type="dxa"/>
            <w:tcBorders>
              <w:top w:val="single" w:sz="8" w:space="0" w:color="000000"/>
              <w:left w:val="single" w:sz="8" w:space="0" w:color="000000"/>
              <w:bottom w:val="single" w:sz="8" w:space="0" w:color="000000"/>
              <w:right w:val="single" w:sz="8" w:space="0" w:color="000000"/>
            </w:tcBorders>
          </w:tcPr>
          <w:p w:rsidR="00ED7B7F" w:rsidRPr="00ED7B7F" w:rsidRDefault="00ED7B7F">
            <w:pPr>
              <w:pStyle w:val="Default"/>
              <w:spacing w:before="40" w:after="40"/>
              <w:jc w:val="center"/>
              <w:rPr>
                <w:sz w:val="22"/>
                <w:szCs w:val="22"/>
              </w:rPr>
            </w:pPr>
            <w:r w:rsidRPr="00ED7B7F">
              <w:rPr>
                <w:sz w:val="22"/>
                <w:szCs w:val="22"/>
              </w:rPr>
              <w:t xml:space="preserve">3 </w:t>
            </w:r>
          </w:p>
        </w:tc>
        <w:tc>
          <w:tcPr>
            <w:tcW w:w="6385" w:type="dxa"/>
            <w:tcBorders>
              <w:top w:val="single" w:sz="8" w:space="0" w:color="000000"/>
              <w:left w:val="single" w:sz="8" w:space="0" w:color="000000"/>
              <w:bottom w:val="single" w:sz="8" w:space="0" w:color="000000"/>
              <w:right w:val="single" w:sz="8" w:space="0" w:color="000000"/>
            </w:tcBorders>
          </w:tcPr>
          <w:p w:rsidR="00ED7B7F" w:rsidRPr="00ED7B7F" w:rsidRDefault="00ED7B7F">
            <w:pPr>
              <w:pStyle w:val="Default"/>
              <w:spacing w:before="40" w:after="40"/>
              <w:rPr>
                <w:sz w:val="22"/>
                <w:szCs w:val="22"/>
              </w:rPr>
            </w:pPr>
            <w:r w:rsidRPr="00ED7B7F">
              <w:rPr>
                <w:sz w:val="22"/>
                <w:szCs w:val="22"/>
              </w:rPr>
              <w:t>Multiply/divide within 100</w:t>
            </w:r>
            <w:r w:rsidRPr="00ED7B7F">
              <w:rPr>
                <w:sz w:val="22"/>
                <w:szCs w:val="22"/>
                <w:vertAlign w:val="superscript"/>
              </w:rPr>
              <w:t xml:space="preserve">2 </w:t>
            </w:r>
          </w:p>
          <w:p w:rsidR="00ED7B7F" w:rsidRPr="00ED7B7F" w:rsidRDefault="00ED7B7F">
            <w:pPr>
              <w:pStyle w:val="Default"/>
              <w:spacing w:before="40" w:after="40"/>
              <w:rPr>
                <w:sz w:val="22"/>
                <w:szCs w:val="22"/>
              </w:rPr>
            </w:pPr>
            <w:r w:rsidRPr="00ED7B7F">
              <w:rPr>
                <w:sz w:val="22"/>
                <w:szCs w:val="22"/>
              </w:rPr>
              <w:t xml:space="preserve">Add/subtract within 1000 </w:t>
            </w:r>
          </w:p>
        </w:tc>
      </w:tr>
      <w:tr w:rsidR="00ED7B7F" w:rsidTr="00ED7B7F">
        <w:tblPrEx>
          <w:tblCellMar>
            <w:top w:w="0" w:type="dxa"/>
            <w:bottom w:w="0" w:type="dxa"/>
          </w:tblCellMar>
        </w:tblPrEx>
        <w:trPr>
          <w:trHeight w:val="114"/>
        </w:trPr>
        <w:tc>
          <w:tcPr>
            <w:tcW w:w="1638" w:type="dxa"/>
            <w:tcBorders>
              <w:top w:val="single" w:sz="8" w:space="0" w:color="000000"/>
              <w:left w:val="single" w:sz="8" w:space="0" w:color="000000"/>
              <w:bottom w:val="single" w:sz="8" w:space="0" w:color="000000"/>
              <w:right w:val="single" w:sz="8" w:space="0" w:color="000000"/>
            </w:tcBorders>
          </w:tcPr>
          <w:p w:rsidR="00ED7B7F" w:rsidRPr="00ED7B7F" w:rsidRDefault="00ED7B7F">
            <w:pPr>
              <w:pStyle w:val="Default"/>
              <w:spacing w:before="40" w:after="40"/>
              <w:jc w:val="center"/>
              <w:rPr>
                <w:sz w:val="22"/>
                <w:szCs w:val="22"/>
              </w:rPr>
            </w:pPr>
            <w:r w:rsidRPr="00ED7B7F">
              <w:rPr>
                <w:sz w:val="22"/>
                <w:szCs w:val="22"/>
              </w:rPr>
              <w:t xml:space="preserve">4 </w:t>
            </w:r>
          </w:p>
        </w:tc>
        <w:tc>
          <w:tcPr>
            <w:tcW w:w="6385" w:type="dxa"/>
            <w:tcBorders>
              <w:top w:val="single" w:sz="8" w:space="0" w:color="000000"/>
              <w:left w:val="single" w:sz="8" w:space="0" w:color="000000"/>
              <w:bottom w:val="single" w:sz="8" w:space="0" w:color="000000"/>
              <w:right w:val="single" w:sz="8" w:space="0" w:color="000000"/>
            </w:tcBorders>
          </w:tcPr>
          <w:p w:rsidR="00ED7B7F" w:rsidRPr="00ED7B7F" w:rsidRDefault="00ED7B7F">
            <w:pPr>
              <w:pStyle w:val="Default"/>
              <w:spacing w:before="40" w:after="40"/>
              <w:rPr>
                <w:sz w:val="22"/>
                <w:szCs w:val="22"/>
              </w:rPr>
            </w:pPr>
            <w:r w:rsidRPr="00ED7B7F">
              <w:rPr>
                <w:sz w:val="22"/>
                <w:szCs w:val="22"/>
              </w:rPr>
              <w:t xml:space="preserve">Add/subtract within 1,000,000 </w:t>
            </w:r>
          </w:p>
        </w:tc>
      </w:tr>
      <w:tr w:rsidR="00ED7B7F" w:rsidTr="00ED7B7F">
        <w:tblPrEx>
          <w:tblCellMar>
            <w:top w:w="0" w:type="dxa"/>
            <w:bottom w:w="0" w:type="dxa"/>
          </w:tblCellMar>
        </w:tblPrEx>
        <w:trPr>
          <w:trHeight w:val="114"/>
        </w:trPr>
        <w:tc>
          <w:tcPr>
            <w:tcW w:w="1638" w:type="dxa"/>
            <w:tcBorders>
              <w:top w:val="single" w:sz="8" w:space="0" w:color="000000"/>
              <w:left w:val="single" w:sz="8" w:space="0" w:color="000000"/>
              <w:bottom w:val="single" w:sz="8" w:space="0" w:color="000000"/>
              <w:right w:val="single" w:sz="8" w:space="0" w:color="000000"/>
            </w:tcBorders>
          </w:tcPr>
          <w:p w:rsidR="00ED7B7F" w:rsidRPr="00ED7B7F" w:rsidRDefault="00ED7B7F">
            <w:pPr>
              <w:pStyle w:val="Default"/>
              <w:spacing w:before="40" w:after="40"/>
              <w:jc w:val="center"/>
              <w:rPr>
                <w:sz w:val="22"/>
                <w:szCs w:val="22"/>
              </w:rPr>
            </w:pPr>
            <w:r w:rsidRPr="00ED7B7F">
              <w:rPr>
                <w:sz w:val="22"/>
                <w:szCs w:val="22"/>
              </w:rPr>
              <w:t xml:space="preserve">5 </w:t>
            </w:r>
          </w:p>
        </w:tc>
        <w:tc>
          <w:tcPr>
            <w:tcW w:w="6385" w:type="dxa"/>
            <w:tcBorders>
              <w:top w:val="single" w:sz="8" w:space="0" w:color="000000"/>
              <w:left w:val="single" w:sz="8" w:space="0" w:color="000000"/>
              <w:bottom w:val="single" w:sz="8" w:space="0" w:color="000000"/>
              <w:right w:val="single" w:sz="8" w:space="0" w:color="000000"/>
            </w:tcBorders>
          </w:tcPr>
          <w:p w:rsidR="00ED7B7F" w:rsidRPr="00ED7B7F" w:rsidRDefault="00ED7B7F">
            <w:pPr>
              <w:pStyle w:val="Default"/>
              <w:spacing w:before="40" w:after="40"/>
              <w:rPr>
                <w:sz w:val="22"/>
                <w:szCs w:val="22"/>
              </w:rPr>
            </w:pPr>
            <w:r w:rsidRPr="00ED7B7F">
              <w:rPr>
                <w:sz w:val="22"/>
                <w:szCs w:val="22"/>
              </w:rPr>
              <w:t xml:space="preserve">Multi‐digit multiplication </w:t>
            </w:r>
          </w:p>
        </w:tc>
      </w:tr>
      <w:tr w:rsidR="00ED7B7F" w:rsidTr="00ED7B7F">
        <w:tblPrEx>
          <w:tblCellMar>
            <w:top w:w="0" w:type="dxa"/>
            <w:bottom w:w="0" w:type="dxa"/>
          </w:tblCellMar>
        </w:tblPrEx>
        <w:trPr>
          <w:trHeight w:val="256"/>
        </w:trPr>
        <w:tc>
          <w:tcPr>
            <w:tcW w:w="1638" w:type="dxa"/>
            <w:tcBorders>
              <w:top w:val="single" w:sz="8" w:space="0" w:color="000000"/>
              <w:left w:val="single" w:sz="8" w:space="0" w:color="000000"/>
              <w:bottom w:val="single" w:sz="8" w:space="0" w:color="000000"/>
              <w:right w:val="single" w:sz="8" w:space="0" w:color="000000"/>
            </w:tcBorders>
          </w:tcPr>
          <w:p w:rsidR="00ED7B7F" w:rsidRPr="00ED7B7F" w:rsidRDefault="00ED7B7F">
            <w:pPr>
              <w:pStyle w:val="Default"/>
              <w:spacing w:before="40" w:after="40"/>
              <w:jc w:val="center"/>
              <w:rPr>
                <w:sz w:val="22"/>
                <w:szCs w:val="22"/>
              </w:rPr>
            </w:pPr>
            <w:r w:rsidRPr="00ED7B7F">
              <w:rPr>
                <w:sz w:val="22"/>
                <w:szCs w:val="22"/>
              </w:rPr>
              <w:t xml:space="preserve">6 </w:t>
            </w:r>
          </w:p>
        </w:tc>
        <w:tc>
          <w:tcPr>
            <w:tcW w:w="6385" w:type="dxa"/>
            <w:tcBorders>
              <w:top w:val="single" w:sz="8" w:space="0" w:color="000000"/>
              <w:left w:val="single" w:sz="8" w:space="0" w:color="000000"/>
              <w:bottom w:val="single" w:sz="8" w:space="0" w:color="000000"/>
              <w:right w:val="single" w:sz="8" w:space="0" w:color="000000"/>
            </w:tcBorders>
          </w:tcPr>
          <w:p w:rsidR="00ED7B7F" w:rsidRPr="00ED7B7F" w:rsidRDefault="00ED7B7F">
            <w:pPr>
              <w:pStyle w:val="Default"/>
              <w:spacing w:before="40" w:after="40"/>
              <w:rPr>
                <w:sz w:val="22"/>
                <w:szCs w:val="22"/>
              </w:rPr>
            </w:pPr>
            <w:r w:rsidRPr="00ED7B7F">
              <w:rPr>
                <w:sz w:val="22"/>
                <w:szCs w:val="22"/>
              </w:rPr>
              <w:t xml:space="preserve">Multi‐digit division </w:t>
            </w:r>
          </w:p>
          <w:p w:rsidR="00ED7B7F" w:rsidRPr="00ED7B7F" w:rsidRDefault="00ED7B7F">
            <w:pPr>
              <w:pStyle w:val="Default"/>
              <w:spacing w:before="40" w:after="40"/>
              <w:rPr>
                <w:sz w:val="22"/>
                <w:szCs w:val="22"/>
              </w:rPr>
            </w:pPr>
            <w:r w:rsidRPr="00ED7B7F">
              <w:rPr>
                <w:sz w:val="22"/>
                <w:szCs w:val="22"/>
              </w:rPr>
              <w:t xml:space="preserve">Multi‐digit decimal operations </w:t>
            </w:r>
          </w:p>
        </w:tc>
      </w:tr>
      <w:tr w:rsidR="00ED7B7F" w:rsidTr="00ED7B7F">
        <w:tblPrEx>
          <w:tblCellMar>
            <w:top w:w="0" w:type="dxa"/>
            <w:bottom w:w="0" w:type="dxa"/>
          </w:tblCellMar>
        </w:tblPrEx>
        <w:trPr>
          <w:trHeight w:val="114"/>
        </w:trPr>
        <w:tc>
          <w:tcPr>
            <w:tcW w:w="1638" w:type="dxa"/>
            <w:tcBorders>
              <w:top w:val="single" w:sz="8" w:space="0" w:color="000000"/>
              <w:left w:val="single" w:sz="8" w:space="0" w:color="000000"/>
              <w:bottom w:val="single" w:sz="8" w:space="0" w:color="000000"/>
              <w:right w:val="single" w:sz="8" w:space="0" w:color="000000"/>
            </w:tcBorders>
          </w:tcPr>
          <w:p w:rsidR="00ED7B7F" w:rsidRPr="00ED7B7F" w:rsidRDefault="00ED7B7F">
            <w:pPr>
              <w:pStyle w:val="Default"/>
              <w:spacing w:before="40" w:after="40"/>
              <w:jc w:val="center"/>
              <w:rPr>
                <w:sz w:val="22"/>
                <w:szCs w:val="22"/>
              </w:rPr>
            </w:pPr>
            <w:r w:rsidRPr="00ED7B7F">
              <w:rPr>
                <w:sz w:val="22"/>
                <w:szCs w:val="22"/>
              </w:rPr>
              <w:t xml:space="preserve">7 </w:t>
            </w:r>
          </w:p>
        </w:tc>
        <w:tc>
          <w:tcPr>
            <w:tcW w:w="6385" w:type="dxa"/>
            <w:tcBorders>
              <w:top w:val="single" w:sz="8" w:space="0" w:color="000000"/>
              <w:left w:val="single" w:sz="8" w:space="0" w:color="000000"/>
              <w:bottom w:val="single" w:sz="8" w:space="0" w:color="000000"/>
              <w:right w:val="single" w:sz="8" w:space="0" w:color="000000"/>
            </w:tcBorders>
          </w:tcPr>
          <w:p w:rsidR="00ED7B7F" w:rsidRPr="00ED7B7F" w:rsidRDefault="00ED7B7F">
            <w:pPr>
              <w:pStyle w:val="Default"/>
              <w:spacing w:before="40" w:after="40"/>
              <w:rPr>
                <w:sz w:val="22"/>
                <w:szCs w:val="22"/>
              </w:rPr>
            </w:pPr>
            <w:r w:rsidRPr="00ED7B7F">
              <w:rPr>
                <w:sz w:val="22"/>
                <w:szCs w:val="22"/>
              </w:rPr>
              <w:t xml:space="preserve">Solve </w:t>
            </w:r>
            <w:proofErr w:type="spellStart"/>
            <w:r w:rsidRPr="00ED7B7F">
              <w:rPr>
                <w:i/>
                <w:iCs/>
                <w:sz w:val="22"/>
                <w:szCs w:val="22"/>
              </w:rPr>
              <w:t>px</w:t>
            </w:r>
            <w:proofErr w:type="spellEnd"/>
            <w:r w:rsidRPr="00ED7B7F">
              <w:rPr>
                <w:i/>
                <w:iCs/>
                <w:sz w:val="22"/>
                <w:szCs w:val="22"/>
              </w:rPr>
              <w:t xml:space="preserve"> </w:t>
            </w:r>
            <w:r w:rsidRPr="00ED7B7F">
              <w:rPr>
                <w:sz w:val="22"/>
                <w:szCs w:val="22"/>
              </w:rPr>
              <w:t xml:space="preserve">+ </w:t>
            </w:r>
            <w:r w:rsidRPr="00ED7B7F">
              <w:rPr>
                <w:i/>
                <w:iCs/>
                <w:sz w:val="22"/>
                <w:szCs w:val="22"/>
              </w:rPr>
              <w:t xml:space="preserve">q </w:t>
            </w:r>
            <w:r w:rsidRPr="00ED7B7F">
              <w:rPr>
                <w:sz w:val="22"/>
                <w:szCs w:val="22"/>
              </w:rPr>
              <w:t xml:space="preserve">= </w:t>
            </w:r>
            <w:r w:rsidRPr="00ED7B7F">
              <w:rPr>
                <w:i/>
                <w:iCs/>
                <w:sz w:val="22"/>
                <w:szCs w:val="22"/>
              </w:rPr>
              <w:t>r</w:t>
            </w:r>
            <w:r w:rsidRPr="00ED7B7F">
              <w:rPr>
                <w:sz w:val="22"/>
                <w:szCs w:val="22"/>
              </w:rPr>
              <w:t xml:space="preserve">, </w:t>
            </w:r>
            <w:r w:rsidRPr="00ED7B7F">
              <w:rPr>
                <w:i/>
                <w:iCs/>
                <w:sz w:val="22"/>
                <w:szCs w:val="22"/>
              </w:rPr>
              <w:t>p</w:t>
            </w:r>
            <w:r w:rsidRPr="00ED7B7F">
              <w:rPr>
                <w:sz w:val="22"/>
                <w:szCs w:val="22"/>
              </w:rPr>
              <w:t>(</w:t>
            </w:r>
            <w:r w:rsidRPr="00ED7B7F">
              <w:rPr>
                <w:i/>
                <w:iCs/>
                <w:sz w:val="22"/>
                <w:szCs w:val="22"/>
              </w:rPr>
              <w:t xml:space="preserve">x </w:t>
            </w:r>
            <w:r w:rsidRPr="00ED7B7F">
              <w:rPr>
                <w:sz w:val="22"/>
                <w:szCs w:val="22"/>
              </w:rPr>
              <w:t xml:space="preserve">+ </w:t>
            </w:r>
            <w:r w:rsidRPr="00ED7B7F">
              <w:rPr>
                <w:i/>
                <w:iCs/>
                <w:sz w:val="22"/>
                <w:szCs w:val="22"/>
              </w:rPr>
              <w:t>q</w:t>
            </w:r>
            <w:r w:rsidRPr="00ED7B7F">
              <w:rPr>
                <w:sz w:val="22"/>
                <w:szCs w:val="22"/>
              </w:rPr>
              <w:t xml:space="preserve">) = </w:t>
            </w:r>
            <w:r w:rsidRPr="00ED7B7F">
              <w:rPr>
                <w:i/>
                <w:iCs/>
                <w:sz w:val="22"/>
                <w:szCs w:val="22"/>
              </w:rPr>
              <w:t xml:space="preserve">r </w:t>
            </w:r>
          </w:p>
        </w:tc>
      </w:tr>
      <w:tr w:rsidR="00ED7B7F" w:rsidTr="00ED7B7F">
        <w:tblPrEx>
          <w:tblCellMar>
            <w:top w:w="0" w:type="dxa"/>
            <w:bottom w:w="0" w:type="dxa"/>
          </w:tblCellMar>
        </w:tblPrEx>
        <w:trPr>
          <w:trHeight w:val="122"/>
        </w:trPr>
        <w:tc>
          <w:tcPr>
            <w:tcW w:w="1638" w:type="dxa"/>
            <w:tcBorders>
              <w:top w:val="single" w:sz="8" w:space="0" w:color="000000"/>
              <w:left w:val="single" w:sz="8" w:space="0" w:color="000000"/>
              <w:bottom w:val="single" w:sz="8" w:space="0" w:color="000000"/>
              <w:right w:val="single" w:sz="8" w:space="0" w:color="000000"/>
            </w:tcBorders>
          </w:tcPr>
          <w:p w:rsidR="00ED7B7F" w:rsidRPr="00ED7B7F" w:rsidRDefault="00ED7B7F">
            <w:pPr>
              <w:pStyle w:val="Default"/>
              <w:spacing w:before="40" w:after="40"/>
              <w:jc w:val="center"/>
              <w:rPr>
                <w:sz w:val="22"/>
                <w:szCs w:val="22"/>
              </w:rPr>
            </w:pPr>
            <w:r w:rsidRPr="00ED7B7F">
              <w:rPr>
                <w:sz w:val="22"/>
                <w:szCs w:val="22"/>
              </w:rPr>
              <w:t xml:space="preserve">8 </w:t>
            </w:r>
          </w:p>
        </w:tc>
        <w:tc>
          <w:tcPr>
            <w:tcW w:w="6385" w:type="dxa"/>
            <w:tcBorders>
              <w:top w:val="single" w:sz="8" w:space="0" w:color="000000"/>
              <w:left w:val="single" w:sz="8" w:space="0" w:color="000000"/>
              <w:bottom w:val="single" w:sz="8" w:space="0" w:color="000000"/>
              <w:right w:val="single" w:sz="8" w:space="0" w:color="000000"/>
            </w:tcBorders>
          </w:tcPr>
          <w:p w:rsidR="00ED7B7F" w:rsidRPr="00ED7B7F" w:rsidRDefault="00ED7B7F">
            <w:pPr>
              <w:pStyle w:val="Default"/>
              <w:spacing w:before="40" w:after="40"/>
              <w:rPr>
                <w:sz w:val="22"/>
                <w:szCs w:val="22"/>
              </w:rPr>
            </w:pPr>
            <w:r w:rsidRPr="00ED7B7F">
              <w:rPr>
                <w:sz w:val="22"/>
                <w:szCs w:val="22"/>
              </w:rPr>
              <w:t>Solve simple 2</w:t>
            </w:r>
            <w:r w:rsidRPr="00ED7B7F">
              <w:rPr>
                <w:sz w:val="22"/>
                <w:szCs w:val="22"/>
              </w:rPr>
              <w:t xml:space="preserve">x </w:t>
            </w:r>
            <w:r w:rsidRPr="00ED7B7F">
              <w:rPr>
                <w:sz w:val="22"/>
                <w:szCs w:val="22"/>
              </w:rPr>
              <w:t xml:space="preserve">2 systems by inspection </w:t>
            </w:r>
          </w:p>
        </w:tc>
      </w:tr>
    </w:tbl>
    <w:p w:rsidR="00ED7B7F" w:rsidRDefault="00ED7B7F"/>
    <w:p w:rsidR="00ED7B7F" w:rsidRDefault="00ED7B7F" w:rsidP="00ED7B7F">
      <w:pPr>
        <w:pStyle w:val="Default"/>
        <w:rPr>
          <w:sz w:val="22"/>
          <w:szCs w:val="22"/>
        </w:rPr>
      </w:pPr>
      <w:r>
        <w:rPr>
          <w:i/>
          <w:iCs/>
          <w:sz w:val="22"/>
          <w:szCs w:val="22"/>
        </w:rPr>
        <w:t xml:space="preserve">Fluent </w:t>
      </w:r>
      <w:r>
        <w:rPr>
          <w:sz w:val="22"/>
          <w:szCs w:val="22"/>
        </w:rPr>
        <w:t xml:space="preserve">in the Standards means “fast and accurate.” It might also help to think of fluency as meaning the same thing as when we say that somebody is fluent in a foreign language: when you’re fluent, you flow. Fluent isn’t halting, stumbling, or reversing oneself. Assessing fluency requires attending to issues of time (and even perhaps rhythm, which could be achieved with technology). </w:t>
      </w:r>
    </w:p>
    <w:p w:rsidR="00ED7B7F" w:rsidRDefault="00ED7B7F" w:rsidP="00ED7B7F">
      <w:pPr>
        <w:pStyle w:val="Default"/>
        <w:rPr>
          <w:sz w:val="22"/>
          <w:szCs w:val="22"/>
        </w:rPr>
      </w:pPr>
    </w:p>
    <w:p w:rsidR="00ED7B7F" w:rsidRDefault="00ED7B7F" w:rsidP="00ED7B7F">
      <w:pPr>
        <w:pStyle w:val="Default"/>
        <w:rPr>
          <w:sz w:val="22"/>
          <w:szCs w:val="22"/>
        </w:rPr>
      </w:pPr>
      <w:r>
        <w:rPr>
          <w:sz w:val="22"/>
          <w:szCs w:val="22"/>
        </w:rPr>
        <w:t xml:space="preserve">The word </w:t>
      </w:r>
      <w:r>
        <w:rPr>
          <w:i/>
          <w:iCs/>
          <w:sz w:val="22"/>
          <w:szCs w:val="22"/>
        </w:rPr>
        <w:t xml:space="preserve">fluency </w:t>
      </w:r>
      <w:r>
        <w:rPr>
          <w:sz w:val="22"/>
          <w:szCs w:val="22"/>
        </w:rPr>
        <w:t xml:space="preserve">was used judiciously in the Standards to mark the endpoints of progressions of learning that begin with solid underpinnings and then pass upward through stages of growing maturity. In fact, the rarity of the word itself might easily lead to fluency becoming invisible in the Standards—one more among 25 things in a grade, easily overlooked. Assessing fluency could remedy this, and at the same time allow data collection that could eventually shed light on whether the progressions toward fluency in the Standards are realistic and appropriate. </w:t>
      </w:r>
    </w:p>
    <w:p w:rsidR="00ED7B7F" w:rsidRDefault="00ED7B7F" w:rsidP="00ED7B7F">
      <w:pPr>
        <w:pStyle w:val="Default"/>
        <w:pBdr>
          <w:bottom w:val="single" w:sz="12" w:space="1" w:color="auto"/>
        </w:pBdr>
        <w:rPr>
          <w:sz w:val="22"/>
          <w:szCs w:val="22"/>
        </w:rPr>
      </w:pPr>
    </w:p>
    <w:p w:rsidR="00ED7B7F" w:rsidRDefault="00ED7B7F" w:rsidP="00ED7B7F">
      <w:pPr>
        <w:pStyle w:val="Default"/>
        <w:rPr>
          <w:sz w:val="22"/>
          <w:szCs w:val="22"/>
        </w:rPr>
      </w:pPr>
    </w:p>
    <w:p w:rsidR="00ED7B7F" w:rsidRDefault="00ED7B7F" w:rsidP="00ED7B7F">
      <w:pPr>
        <w:pStyle w:val="Default"/>
        <w:rPr>
          <w:sz w:val="16"/>
          <w:szCs w:val="16"/>
        </w:rPr>
      </w:pPr>
      <w:r>
        <w:rPr>
          <w:rFonts w:ascii="Times New Roman" w:hAnsi="Times New Roman" w:cs="Times New Roman"/>
          <w:sz w:val="10"/>
          <w:szCs w:val="10"/>
        </w:rPr>
        <w:t xml:space="preserve">1 </w:t>
      </w:r>
      <w:r>
        <w:rPr>
          <w:sz w:val="16"/>
          <w:szCs w:val="16"/>
        </w:rPr>
        <w:t xml:space="preserve">By end of year, know from memory all sums of two one‐digit numbers </w:t>
      </w:r>
    </w:p>
    <w:p w:rsidR="00ED7B7F" w:rsidRDefault="00ED7B7F">
      <w:r>
        <w:rPr>
          <w:rFonts w:ascii="Times New Roman" w:hAnsi="Times New Roman" w:cs="Times New Roman"/>
          <w:sz w:val="10"/>
          <w:szCs w:val="10"/>
        </w:rPr>
        <w:t xml:space="preserve">2 </w:t>
      </w:r>
      <w:r>
        <w:rPr>
          <w:sz w:val="16"/>
          <w:szCs w:val="16"/>
        </w:rPr>
        <w:t xml:space="preserve">By end of year, know from memory all products of two one‐digit numbers </w:t>
      </w:r>
      <w:r>
        <w:t xml:space="preserve"> </w:t>
      </w:r>
      <w:r>
        <w:br w:type="page"/>
      </w:r>
    </w:p>
    <w:p w:rsidR="00ED7B7F" w:rsidRPr="00ED7B7F" w:rsidRDefault="00ED7B7F" w:rsidP="00ED7B7F">
      <w:pPr>
        <w:ind w:left="-270"/>
        <w:rPr>
          <w:b/>
          <w:sz w:val="32"/>
        </w:rPr>
      </w:pPr>
      <w:r w:rsidRPr="00ED7B7F">
        <w:rPr>
          <w:b/>
          <w:sz w:val="32"/>
        </w:rPr>
        <w:lastRenderedPageBreak/>
        <w:t>Common Core Fluencies- High School Courses</w:t>
      </w:r>
    </w:p>
    <w:p w:rsidR="00ED7B7F" w:rsidRPr="00ED7B7F" w:rsidRDefault="00ED7B7F" w:rsidP="00ED7B7F">
      <w:pPr>
        <w:ind w:left="-270"/>
        <w:rPr>
          <w:sz w:val="24"/>
        </w:rPr>
      </w:pPr>
      <w:r>
        <w:rPr>
          <w:sz w:val="24"/>
        </w:rPr>
        <w:t xml:space="preserve">These fluency recommendations are listed within the PARCC Frameworks for the High School courses. </w:t>
      </w:r>
      <w:hyperlink r:id="rId7" w:history="1">
        <w:r w:rsidRPr="00FF17BD">
          <w:rPr>
            <w:rStyle w:val="Hyperlink"/>
            <w:sz w:val="24"/>
          </w:rPr>
          <w:t>http://parcconline.org/parcc-model-content-frameworks</w:t>
        </w:r>
      </w:hyperlink>
      <w:r>
        <w:rPr>
          <w:sz w:val="24"/>
        </w:rPr>
        <w:t xml:space="preserve"> </w:t>
      </w:r>
    </w:p>
    <w:tbl>
      <w:tblPr>
        <w:tblW w:w="0" w:type="auto"/>
        <w:tblInd w:w="-1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278"/>
        <w:gridCol w:w="8442"/>
      </w:tblGrid>
      <w:tr w:rsidR="00ED7B7F" w:rsidTr="00ED7B7F">
        <w:tblPrEx>
          <w:tblCellMar>
            <w:top w:w="0" w:type="dxa"/>
            <w:bottom w:w="0" w:type="dxa"/>
          </w:tblCellMar>
        </w:tblPrEx>
        <w:trPr>
          <w:trHeight w:val="122"/>
        </w:trPr>
        <w:tc>
          <w:tcPr>
            <w:tcW w:w="1278" w:type="dxa"/>
            <w:tcBorders>
              <w:top w:val="single" w:sz="8" w:space="0" w:color="000000"/>
              <w:left w:val="single" w:sz="8" w:space="0" w:color="000000"/>
              <w:bottom w:val="single" w:sz="8" w:space="0" w:color="000000"/>
              <w:right w:val="single" w:sz="8" w:space="0" w:color="000000"/>
            </w:tcBorders>
          </w:tcPr>
          <w:p w:rsidR="00ED7B7F" w:rsidRDefault="00ED7B7F" w:rsidP="00ED7B7F">
            <w:pPr>
              <w:pStyle w:val="Default"/>
              <w:spacing w:before="40" w:after="40"/>
              <w:rPr>
                <w:sz w:val="20"/>
                <w:szCs w:val="20"/>
              </w:rPr>
            </w:pPr>
            <w:r w:rsidRPr="00ED7B7F">
              <w:rPr>
                <w:b/>
                <w:sz w:val="22"/>
                <w:szCs w:val="20"/>
              </w:rPr>
              <w:t>Algebra 1</w:t>
            </w:r>
          </w:p>
        </w:tc>
        <w:tc>
          <w:tcPr>
            <w:tcW w:w="8442" w:type="dxa"/>
            <w:tcBorders>
              <w:top w:val="single" w:sz="8" w:space="0" w:color="000000"/>
              <w:left w:val="single" w:sz="8" w:space="0" w:color="000000"/>
              <w:bottom w:val="single" w:sz="8" w:space="0" w:color="000000"/>
              <w:right w:val="single" w:sz="8" w:space="0" w:color="000000"/>
            </w:tcBorders>
          </w:tcPr>
          <w:p w:rsidR="00ED7B7F" w:rsidRDefault="00ED7B7F" w:rsidP="00ED7B7F">
            <w:pPr>
              <w:pStyle w:val="Default"/>
              <w:rPr>
                <w:sz w:val="22"/>
                <w:szCs w:val="22"/>
              </w:rPr>
            </w:pPr>
            <w:r>
              <w:rPr>
                <w:b/>
                <w:bCs/>
                <w:sz w:val="22"/>
                <w:szCs w:val="22"/>
              </w:rPr>
              <w:t xml:space="preserve">A/G </w:t>
            </w:r>
            <w:r>
              <w:rPr>
                <w:sz w:val="22"/>
                <w:szCs w:val="22"/>
              </w:rPr>
              <w:t xml:space="preserve">Algebra I students become fluent in solving characteristic problems involving the analytic geometry of lines, such as writing down the equation of a line given a point and a slope. Such fluency can support them in solving less routine mathematical problems involving linearity, as well as in modeling linear phenomena (including modeling using systems of linear inequalities in two variables). </w:t>
            </w:r>
          </w:p>
          <w:p w:rsidR="00ED7B7F" w:rsidRDefault="00ED7B7F" w:rsidP="00ED7B7F">
            <w:pPr>
              <w:pStyle w:val="Default"/>
              <w:rPr>
                <w:sz w:val="22"/>
                <w:szCs w:val="22"/>
              </w:rPr>
            </w:pPr>
          </w:p>
          <w:p w:rsidR="00ED7B7F" w:rsidRDefault="00ED7B7F" w:rsidP="00ED7B7F">
            <w:pPr>
              <w:pStyle w:val="Default"/>
              <w:rPr>
                <w:sz w:val="22"/>
                <w:szCs w:val="22"/>
              </w:rPr>
            </w:pPr>
            <w:r>
              <w:rPr>
                <w:b/>
                <w:bCs/>
                <w:sz w:val="22"/>
                <w:szCs w:val="22"/>
              </w:rPr>
              <w:t xml:space="preserve">A-APR.1 </w:t>
            </w:r>
            <w:r>
              <w:rPr>
                <w:sz w:val="22"/>
                <w:szCs w:val="22"/>
              </w:rPr>
              <w:t xml:space="preserve">Fluency in adding, subtracting, and multiplying polynomials supports students throughout their work in algebra, as well as in their symbolic work with functions. Manipulation can be more mindful when it is fluent. </w:t>
            </w:r>
          </w:p>
          <w:p w:rsidR="00ED7B7F" w:rsidRDefault="00ED7B7F" w:rsidP="00ED7B7F">
            <w:pPr>
              <w:pStyle w:val="Default"/>
              <w:rPr>
                <w:sz w:val="22"/>
                <w:szCs w:val="22"/>
              </w:rPr>
            </w:pPr>
          </w:p>
          <w:p w:rsidR="00ED7B7F" w:rsidRPr="00ED7B7F" w:rsidRDefault="00ED7B7F" w:rsidP="00ED7B7F">
            <w:r>
              <w:rPr>
                <w:b/>
                <w:bCs/>
              </w:rPr>
              <w:t xml:space="preserve">A-SSE.1b </w:t>
            </w:r>
            <w:r>
              <w:t>Fluency in transforming expressions and chunking (seeing parts of an expression as a single object) is essential in factoring, completing the square, and other mindful algebraic calculations.</w:t>
            </w:r>
          </w:p>
        </w:tc>
        <w:bookmarkStart w:id="0" w:name="_GoBack"/>
        <w:bookmarkEnd w:id="0"/>
      </w:tr>
      <w:tr w:rsidR="00ED7B7F" w:rsidTr="00ED7B7F">
        <w:tblPrEx>
          <w:tblCellMar>
            <w:top w:w="0" w:type="dxa"/>
            <w:bottom w:w="0" w:type="dxa"/>
          </w:tblCellMar>
        </w:tblPrEx>
        <w:trPr>
          <w:trHeight w:val="122"/>
        </w:trPr>
        <w:tc>
          <w:tcPr>
            <w:tcW w:w="1278" w:type="dxa"/>
            <w:tcBorders>
              <w:top w:val="single" w:sz="8" w:space="0" w:color="000000"/>
              <w:left w:val="single" w:sz="8" w:space="0" w:color="000000"/>
              <w:bottom w:val="single" w:sz="8" w:space="0" w:color="000000"/>
              <w:right w:val="single" w:sz="8" w:space="0" w:color="000000"/>
            </w:tcBorders>
          </w:tcPr>
          <w:p w:rsidR="00ED7B7F" w:rsidRPr="00ED7B7F" w:rsidRDefault="00ED7B7F" w:rsidP="00ED7B7F">
            <w:pPr>
              <w:pStyle w:val="Default"/>
              <w:spacing w:before="40" w:after="40"/>
              <w:rPr>
                <w:b/>
                <w:sz w:val="22"/>
                <w:szCs w:val="20"/>
              </w:rPr>
            </w:pPr>
            <w:r w:rsidRPr="00ED7B7F">
              <w:rPr>
                <w:b/>
                <w:sz w:val="22"/>
                <w:szCs w:val="20"/>
              </w:rPr>
              <w:t>Geometry</w:t>
            </w:r>
          </w:p>
        </w:tc>
        <w:tc>
          <w:tcPr>
            <w:tcW w:w="8442" w:type="dxa"/>
            <w:tcBorders>
              <w:top w:val="single" w:sz="8" w:space="0" w:color="000000"/>
              <w:left w:val="single" w:sz="8" w:space="0" w:color="000000"/>
              <w:bottom w:val="single" w:sz="8" w:space="0" w:color="000000"/>
              <w:right w:val="single" w:sz="8" w:space="0" w:color="000000"/>
            </w:tcBorders>
          </w:tcPr>
          <w:p w:rsidR="00ED7B7F" w:rsidRDefault="00ED7B7F" w:rsidP="00ED7B7F">
            <w:pPr>
              <w:pStyle w:val="Default"/>
              <w:rPr>
                <w:sz w:val="22"/>
                <w:szCs w:val="22"/>
              </w:rPr>
            </w:pPr>
            <w:r>
              <w:rPr>
                <w:b/>
                <w:bCs/>
                <w:sz w:val="22"/>
                <w:szCs w:val="22"/>
              </w:rPr>
              <w:t xml:space="preserve">G-SRT.5 </w:t>
            </w:r>
            <w:r>
              <w:rPr>
                <w:sz w:val="22"/>
                <w:szCs w:val="22"/>
              </w:rPr>
              <w:t xml:space="preserve">Fluency with the triangle congruence and similarity criteria will help students throughout their investigations of triangles, quadrilaterals, circles, parallelism, and trigonometric ratios. These criteria are necessary tools in many geometric modeling tasks. </w:t>
            </w:r>
          </w:p>
          <w:p w:rsidR="00ED7B7F" w:rsidRDefault="00ED7B7F" w:rsidP="00ED7B7F">
            <w:pPr>
              <w:pStyle w:val="Default"/>
              <w:rPr>
                <w:sz w:val="22"/>
                <w:szCs w:val="22"/>
              </w:rPr>
            </w:pPr>
          </w:p>
          <w:p w:rsidR="00ED7B7F" w:rsidRDefault="00ED7B7F" w:rsidP="00ED7B7F">
            <w:pPr>
              <w:pStyle w:val="Default"/>
              <w:rPr>
                <w:sz w:val="22"/>
                <w:szCs w:val="22"/>
              </w:rPr>
            </w:pPr>
            <w:r>
              <w:rPr>
                <w:b/>
                <w:bCs/>
                <w:sz w:val="22"/>
                <w:szCs w:val="22"/>
              </w:rPr>
              <w:t xml:space="preserve">G-GPE.4, 5, 7 </w:t>
            </w:r>
            <w:r>
              <w:rPr>
                <w:sz w:val="22"/>
                <w:szCs w:val="22"/>
              </w:rPr>
              <w:t xml:space="preserve">Fluency with the use of coordinates to establish geometric results, calculate length and angle, and use geometric representations as a modeling tool are some of the most valuable tools in mathematics and related fields. </w:t>
            </w:r>
          </w:p>
          <w:p w:rsidR="00ED7B7F" w:rsidRDefault="00ED7B7F" w:rsidP="00ED7B7F">
            <w:pPr>
              <w:pStyle w:val="Default"/>
              <w:rPr>
                <w:sz w:val="22"/>
                <w:szCs w:val="22"/>
              </w:rPr>
            </w:pPr>
          </w:p>
          <w:p w:rsidR="00ED7B7F" w:rsidRPr="00ED7B7F" w:rsidRDefault="00ED7B7F" w:rsidP="00ED7B7F">
            <w:pPr>
              <w:pStyle w:val="Default"/>
              <w:spacing w:before="40" w:after="40"/>
              <w:rPr>
                <w:sz w:val="22"/>
                <w:szCs w:val="20"/>
              </w:rPr>
            </w:pPr>
            <w:r>
              <w:rPr>
                <w:b/>
                <w:bCs/>
                <w:sz w:val="22"/>
                <w:szCs w:val="22"/>
              </w:rPr>
              <w:t xml:space="preserve">G-CO.12 </w:t>
            </w:r>
            <w:r>
              <w:rPr>
                <w:sz w:val="22"/>
                <w:szCs w:val="22"/>
              </w:rPr>
              <w:t>Fluency with the use of construction tools, physical and computational, helps students draft a model of a geometric phenomenon and can lead to conjectures and proofs.</w:t>
            </w:r>
          </w:p>
        </w:tc>
      </w:tr>
      <w:tr w:rsidR="00ED7B7F" w:rsidTr="00ED7B7F">
        <w:tblPrEx>
          <w:tblCellMar>
            <w:top w:w="0" w:type="dxa"/>
            <w:bottom w:w="0" w:type="dxa"/>
          </w:tblCellMar>
        </w:tblPrEx>
        <w:trPr>
          <w:trHeight w:val="122"/>
        </w:trPr>
        <w:tc>
          <w:tcPr>
            <w:tcW w:w="1278" w:type="dxa"/>
            <w:tcBorders>
              <w:top w:val="single" w:sz="8" w:space="0" w:color="000000"/>
              <w:left w:val="single" w:sz="8" w:space="0" w:color="000000"/>
              <w:bottom w:val="single" w:sz="8" w:space="0" w:color="000000"/>
              <w:right w:val="single" w:sz="8" w:space="0" w:color="000000"/>
            </w:tcBorders>
          </w:tcPr>
          <w:p w:rsidR="00ED7B7F" w:rsidRPr="00ED7B7F" w:rsidRDefault="00ED7B7F" w:rsidP="00ED7B7F">
            <w:pPr>
              <w:pStyle w:val="Default"/>
              <w:spacing w:before="40" w:after="40"/>
              <w:rPr>
                <w:b/>
                <w:sz w:val="22"/>
                <w:szCs w:val="20"/>
              </w:rPr>
            </w:pPr>
            <w:r w:rsidRPr="00ED7B7F">
              <w:rPr>
                <w:b/>
                <w:sz w:val="22"/>
                <w:szCs w:val="20"/>
              </w:rPr>
              <w:t>Algebra II</w:t>
            </w:r>
          </w:p>
        </w:tc>
        <w:tc>
          <w:tcPr>
            <w:tcW w:w="8442" w:type="dxa"/>
            <w:tcBorders>
              <w:top w:val="single" w:sz="8" w:space="0" w:color="000000"/>
              <w:left w:val="single" w:sz="8" w:space="0" w:color="000000"/>
              <w:bottom w:val="single" w:sz="8" w:space="0" w:color="000000"/>
              <w:right w:val="single" w:sz="8" w:space="0" w:color="000000"/>
            </w:tcBorders>
          </w:tcPr>
          <w:p w:rsidR="00ED7B7F" w:rsidRDefault="00ED7B7F" w:rsidP="00ED7B7F">
            <w:pPr>
              <w:pStyle w:val="Default"/>
              <w:spacing w:before="40" w:after="40"/>
              <w:rPr>
                <w:rFonts w:eastAsiaTheme="minorEastAsia"/>
                <w:sz w:val="22"/>
                <w:szCs w:val="22"/>
              </w:rPr>
            </w:pPr>
            <w:r>
              <w:rPr>
                <w:b/>
                <w:bCs/>
                <w:sz w:val="22"/>
                <w:szCs w:val="22"/>
              </w:rPr>
              <w:t xml:space="preserve">A-APR.6 </w:t>
            </w:r>
            <w:r>
              <w:rPr>
                <w:sz w:val="22"/>
                <w:szCs w:val="22"/>
              </w:rPr>
              <w:t>This standard sets an expectation that students will divide polynomials with remainder by inspection in simple cases. For example, one can view the rational expression</w:t>
            </w:r>
            <w:r>
              <w:rPr>
                <w:sz w:val="22"/>
                <w:szCs w:val="22"/>
              </w:rPr>
              <w:t xml:space="preserve">. For example, one can view the rational expression </w:t>
            </w:r>
            <m:oMath>
              <m:f>
                <m:fPr>
                  <m:ctrlPr>
                    <w:rPr>
                      <w:rFonts w:ascii="Cambria Math" w:hAnsi="Cambria Math"/>
                      <w:i/>
                      <w:sz w:val="22"/>
                      <w:szCs w:val="22"/>
                    </w:rPr>
                  </m:ctrlPr>
                </m:fPr>
                <m:num>
                  <m:r>
                    <w:rPr>
                      <w:rFonts w:ascii="Cambria Math" w:hAnsi="Cambria Math"/>
                      <w:sz w:val="22"/>
                      <w:szCs w:val="22"/>
                    </w:rPr>
                    <m:t>x+4</m:t>
                  </m:r>
                </m:num>
                <m:den>
                  <m:r>
                    <w:rPr>
                      <w:rFonts w:ascii="Cambria Math" w:hAnsi="Cambria Math"/>
                      <w:sz w:val="22"/>
                      <w:szCs w:val="22"/>
                    </w:rPr>
                    <m:t>x+3</m:t>
                  </m:r>
                </m:den>
              </m:f>
            </m:oMath>
            <w:r>
              <w:rPr>
                <w:rFonts w:eastAsiaTheme="minorEastAsia"/>
                <w:sz w:val="22"/>
                <w:szCs w:val="22"/>
              </w:rPr>
              <w:t xml:space="preserve"> as </w:t>
            </w:r>
            <m:oMath>
              <m:f>
                <m:fPr>
                  <m:ctrlPr>
                    <w:rPr>
                      <w:rFonts w:ascii="Cambria Math" w:hAnsi="Cambria Math"/>
                      <w:i/>
                      <w:sz w:val="22"/>
                      <w:szCs w:val="22"/>
                    </w:rPr>
                  </m:ctrlPr>
                </m:fPr>
                <m:num>
                  <m:r>
                    <w:rPr>
                      <w:rFonts w:ascii="Cambria Math" w:hAnsi="Cambria Math"/>
                      <w:sz w:val="22"/>
                      <w:szCs w:val="22"/>
                    </w:rPr>
                    <m:t>x+4</m:t>
                  </m:r>
                </m:num>
                <m:den>
                  <m:r>
                    <w:rPr>
                      <w:rFonts w:ascii="Cambria Math" w:hAnsi="Cambria Math"/>
                      <w:sz w:val="22"/>
                      <w:szCs w:val="22"/>
                    </w:rPr>
                    <m:t>x+3</m:t>
                  </m:r>
                </m:den>
              </m:f>
            </m:oMath>
            <w:r>
              <w:rPr>
                <w:rFonts w:eastAsiaTheme="minorEastAsia"/>
                <w:sz w:val="22"/>
                <w:szCs w:val="22"/>
              </w:rPr>
              <w:t xml:space="preserve"> = </w:t>
            </w:r>
            <m:oMath>
              <m:f>
                <m:fPr>
                  <m:ctrlPr>
                    <w:rPr>
                      <w:rFonts w:ascii="Cambria Math" w:hAnsi="Cambria Math"/>
                      <w:i/>
                      <w:sz w:val="22"/>
                      <w:szCs w:val="22"/>
                    </w:rPr>
                  </m:ctrlPr>
                </m:fPr>
                <m:num>
                  <m:d>
                    <m:dPr>
                      <m:ctrlPr>
                        <w:rPr>
                          <w:rFonts w:ascii="Cambria Math" w:hAnsi="Cambria Math"/>
                          <w:i/>
                          <w:sz w:val="22"/>
                          <w:szCs w:val="22"/>
                        </w:rPr>
                      </m:ctrlPr>
                    </m:dPr>
                    <m:e>
                      <m:r>
                        <w:rPr>
                          <w:rFonts w:ascii="Cambria Math" w:hAnsi="Cambria Math"/>
                          <w:sz w:val="22"/>
                          <w:szCs w:val="22"/>
                        </w:rPr>
                        <m:t>x+</m:t>
                      </m:r>
                      <m:r>
                        <w:rPr>
                          <w:rFonts w:ascii="Cambria Math" w:hAnsi="Cambria Math"/>
                          <w:sz w:val="22"/>
                          <w:szCs w:val="22"/>
                        </w:rPr>
                        <m:t>3</m:t>
                      </m:r>
                    </m:e>
                  </m:d>
                  <m:r>
                    <w:rPr>
                      <w:rFonts w:ascii="Cambria Math" w:hAnsi="Cambria Math"/>
                      <w:sz w:val="22"/>
                      <w:szCs w:val="22"/>
                    </w:rPr>
                    <m:t>+1</m:t>
                  </m:r>
                </m:num>
                <m:den>
                  <m:r>
                    <w:rPr>
                      <w:rFonts w:ascii="Cambria Math" w:hAnsi="Cambria Math"/>
                      <w:sz w:val="22"/>
                      <w:szCs w:val="22"/>
                    </w:rPr>
                    <m:t>x+3</m:t>
                  </m:r>
                </m:den>
              </m:f>
            </m:oMath>
            <w:r>
              <w:rPr>
                <w:rFonts w:eastAsiaTheme="minorEastAsia"/>
                <w:sz w:val="22"/>
                <w:szCs w:val="22"/>
              </w:rPr>
              <w:t xml:space="preserve"> = 1 +</w:t>
            </w:r>
            <m:oMath>
              <m:r>
                <w:rPr>
                  <w:rFonts w:ascii="Cambria Math" w:eastAsiaTheme="minorEastAsia" w:hAnsi="Cambria Math"/>
                  <w:sz w:val="22"/>
                  <w:szCs w:val="22"/>
                </w:rPr>
                <m:t xml:space="preserve"> </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x+3</m:t>
                  </m:r>
                </m:den>
              </m:f>
            </m:oMath>
          </w:p>
          <w:p w:rsidR="00ED7B7F" w:rsidRDefault="00ED7B7F" w:rsidP="00ED7B7F">
            <w:pPr>
              <w:pStyle w:val="Default"/>
              <w:spacing w:before="40" w:after="40"/>
              <w:rPr>
                <w:rFonts w:eastAsiaTheme="minorEastAsia"/>
                <w:sz w:val="22"/>
                <w:szCs w:val="22"/>
              </w:rPr>
            </w:pPr>
          </w:p>
          <w:p w:rsidR="00ED7B7F" w:rsidRDefault="00ED7B7F" w:rsidP="00ED7B7F">
            <w:pPr>
              <w:pStyle w:val="Default"/>
              <w:rPr>
                <w:sz w:val="22"/>
                <w:szCs w:val="22"/>
              </w:rPr>
            </w:pPr>
            <w:r>
              <w:rPr>
                <w:b/>
                <w:bCs/>
                <w:sz w:val="22"/>
                <w:szCs w:val="22"/>
              </w:rPr>
              <w:t xml:space="preserve">A-SSE.2 </w:t>
            </w:r>
            <w:r>
              <w:rPr>
                <w:sz w:val="22"/>
                <w:szCs w:val="22"/>
              </w:rPr>
              <w:t>The ability to see structure in expressions and to use this structure to rewrite expressions</w:t>
            </w:r>
            <w:r>
              <w:rPr>
                <w:sz w:val="22"/>
                <w:szCs w:val="22"/>
              </w:rPr>
              <w:t xml:space="preserve"> </w:t>
            </w:r>
            <w:r>
              <w:rPr>
                <w:sz w:val="22"/>
                <w:szCs w:val="22"/>
              </w:rPr>
              <w:t xml:space="preserve">is a key skill in everything from advanced factoring (e.g., grouping) to summing series to the rewriting of rational expressions to examine the end behavior of the corresponding rational function. </w:t>
            </w:r>
          </w:p>
          <w:p w:rsidR="00ED7B7F" w:rsidRDefault="00ED7B7F" w:rsidP="00ED7B7F">
            <w:pPr>
              <w:pStyle w:val="Default"/>
              <w:rPr>
                <w:sz w:val="22"/>
                <w:szCs w:val="22"/>
              </w:rPr>
            </w:pPr>
          </w:p>
          <w:p w:rsidR="00ED7B7F" w:rsidRPr="00ED7B7F" w:rsidRDefault="00ED7B7F" w:rsidP="00ED7B7F">
            <w:pPr>
              <w:pStyle w:val="Default"/>
              <w:spacing w:before="40" w:after="40"/>
              <w:rPr>
                <w:rFonts w:eastAsiaTheme="minorEastAsia"/>
                <w:sz w:val="22"/>
                <w:szCs w:val="22"/>
              </w:rPr>
            </w:pPr>
            <w:r>
              <w:rPr>
                <w:b/>
                <w:bCs/>
                <w:sz w:val="22"/>
                <w:szCs w:val="22"/>
              </w:rPr>
              <w:t xml:space="preserve">F-IF.3 </w:t>
            </w:r>
            <w:r>
              <w:rPr>
                <w:sz w:val="22"/>
                <w:szCs w:val="22"/>
              </w:rPr>
              <w:t>Fluency in translating between recursive definitions and closed forms is helpful when dealing with many problems involving sequences and series, with applications ranging from fitting functions to tables to problems in finance.</w:t>
            </w:r>
          </w:p>
        </w:tc>
      </w:tr>
    </w:tbl>
    <w:p w:rsidR="00ED7B7F" w:rsidRDefault="00ED7B7F" w:rsidP="00ED7B7F"/>
    <w:sectPr w:rsidR="00ED7B7F" w:rsidSect="00ED7B7F">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3DF" w:rsidRDefault="00B213DF" w:rsidP="00ED7B7F">
      <w:pPr>
        <w:spacing w:after="0" w:line="240" w:lineRule="auto"/>
      </w:pPr>
      <w:r>
        <w:separator/>
      </w:r>
    </w:p>
  </w:endnote>
  <w:endnote w:type="continuationSeparator" w:id="0">
    <w:p w:rsidR="00B213DF" w:rsidRDefault="00B213DF" w:rsidP="00ED7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7F" w:rsidRDefault="00ED7B7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1/17/2013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ED7B7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ED7B7F" w:rsidRDefault="00ED7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3DF" w:rsidRDefault="00B213DF" w:rsidP="00ED7B7F">
      <w:pPr>
        <w:spacing w:after="0" w:line="240" w:lineRule="auto"/>
      </w:pPr>
      <w:r>
        <w:separator/>
      </w:r>
    </w:p>
  </w:footnote>
  <w:footnote w:type="continuationSeparator" w:id="0">
    <w:p w:rsidR="00B213DF" w:rsidRDefault="00B213DF" w:rsidP="00ED7B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B7F"/>
    <w:rsid w:val="002D5EF4"/>
    <w:rsid w:val="00346D2D"/>
    <w:rsid w:val="00B213DF"/>
    <w:rsid w:val="00ED7B7F"/>
    <w:rsid w:val="00FC5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D7B7F"/>
    <w:pPr>
      <w:autoSpaceDE w:val="0"/>
      <w:autoSpaceDN w:val="0"/>
      <w:adjustRightInd w:val="0"/>
      <w:spacing w:after="0" w:line="240" w:lineRule="auto"/>
    </w:pPr>
    <w:rPr>
      <w:rFonts w:ascii="Calibri" w:hAnsi="Calibri" w:cs="Calibri"/>
      <w:color w:val="000000"/>
      <w:sz w:val="24"/>
      <w:szCs w:val="24"/>
    </w:rPr>
  </w:style>
  <w:style w:type="paragraph" w:styleId="ListBullet">
    <w:name w:val="List Bullet"/>
    <w:basedOn w:val="Default"/>
    <w:next w:val="Default"/>
    <w:uiPriority w:val="99"/>
    <w:rsid w:val="00ED7B7F"/>
    <w:rPr>
      <w:rFonts w:cstheme="minorBidi"/>
      <w:color w:val="auto"/>
    </w:rPr>
  </w:style>
  <w:style w:type="paragraph" w:styleId="BalloonText">
    <w:name w:val="Balloon Text"/>
    <w:basedOn w:val="Normal"/>
    <w:link w:val="BalloonTextChar"/>
    <w:uiPriority w:val="99"/>
    <w:semiHidden/>
    <w:unhideWhenUsed/>
    <w:rsid w:val="00ED7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B7F"/>
    <w:rPr>
      <w:rFonts w:ascii="Tahoma" w:hAnsi="Tahoma" w:cs="Tahoma"/>
      <w:sz w:val="16"/>
      <w:szCs w:val="16"/>
    </w:rPr>
  </w:style>
  <w:style w:type="character" w:styleId="Hyperlink">
    <w:name w:val="Hyperlink"/>
    <w:basedOn w:val="DefaultParagraphFont"/>
    <w:uiPriority w:val="99"/>
    <w:unhideWhenUsed/>
    <w:rsid w:val="00ED7B7F"/>
    <w:rPr>
      <w:color w:val="0000FF" w:themeColor="hyperlink"/>
      <w:u w:val="single"/>
    </w:rPr>
  </w:style>
  <w:style w:type="paragraph" w:styleId="Header">
    <w:name w:val="header"/>
    <w:basedOn w:val="Normal"/>
    <w:link w:val="HeaderChar"/>
    <w:uiPriority w:val="99"/>
    <w:unhideWhenUsed/>
    <w:rsid w:val="00ED7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B7F"/>
  </w:style>
  <w:style w:type="paragraph" w:styleId="Footer">
    <w:name w:val="footer"/>
    <w:basedOn w:val="Normal"/>
    <w:link w:val="FooterChar"/>
    <w:uiPriority w:val="99"/>
    <w:unhideWhenUsed/>
    <w:rsid w:val="00ED7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B7F"/>
  </w:style>
  <w:style w:type="character" w:styleId="PlaceholderText">
    <w:name w:val="Placeholder Text"/>
    <w:basedOn w:val="DefaultParagraphFont"/>
    <w:uiPriority w:val="99"/>
    <w:semiHidden/>
    <w:rsid w:val="00ED7B7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D7B7F"/>
    <w:pPr>
      <w:autoSpaceDE w:val="0"/>
      <w:autoSpaceDN w:val="0"/>
      <w:adjustRightInd w:val="0"/>
      <w:spacing w:after="0" w:line="240" w:lineRule="auto"/>
    </w:pPr>
    <w:rPr>
      <w:rFonts w:ascii="Calibri" w:hAnsi="Calibri" w:cs="Calibri"/>
      <w:color w:val="000000"/>
      <w:sz w:val="24"/>
      <w:szCs w:val="24"/>
    </w:rPr>
  </w:style>
  <w:style w:type="paragraph" w:styleId="ListBullet">
    <w:name w:val="List Bullet"/>
    <w:basedOn w:val="Default"/>
    <w:next w:val="Default"/>
    <w:uiPriority w:val="99"/>
    <w:rsid w:val="00ED7B7F"/>
    <w:rPr>
      <w:rFonts w:cstheme="minorBidi"/>
      <w:color w:val="auto"/>
    </w:rPr>
  </w:style>
  <w:style w:type="paragraph" w:styleId="BalloonText">
    <w:name w:val="Balloon Text"/>
    <w:basedOn w:val="Normal"/>
    <w:link w:val="BalloonTextChar"/>
    <w:uiPriority w:val="99"/>
    <w:semiHidden/>
    <w:unhideWhenUsed/>
    <w:rsid w:val="00ED7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B7F"/>
    <w:rPr>
      <w:rFonts w:ascii="Tahoma" w:hAnsi="Tahoma" w:cs="Tahoma"/>
      <w:sz w:val="16"/>
      <w:szCs w:val="16"/>
    </w:rPr>
  </w:style>
  <w:style w:type="character" w:styleId="Hyperlink">
    <w:name w:val="Hyperlink"/>
    <w:basedOn w:val="DefaultParagraphFont"/>
    <w:uiPriority w:val="99"/>
    <w:unhideWhenUsed/>
    <w:rsid w:val="00ED7B7F"/>
    <w:rPr>
      <w:color w:val="0000FF" w:themeColor="hyperlink"/>
      <w:u w:val="single"/>
    </w:rPr>
  </w:style>
  <w:style w:type="paragraph" w:styleId="Header">
    <w:name w:val="header"/>
    <w:basedOn w:val="Normal"/>
    <w:link w:val="HeaderChar"/>
    <w:uiPriority w:val="99"/>
    <w:unhideWhenUsed/>
    <w:rsid w:val="00ED7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B7F"/>
  </w:style>
  <w:style w:type="paragraph" w:styleId="Footer">
    <w:name w:val="footer"/>
    <w:basedOn w:val="Normal"/>
    <w:link w:val="FooterChar"/>
    <w:uiPriority w:val="99"/>
    <w:unhideWhenUsed/>
    <w:rsid w:val="00ED7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B7F"/>
  </w:style>
  <w:style w:type="character" w:styleId="PlaceholderText">
    <w:name w:val="Placeholder Text"/>
    <w:basedOn w:val="DefaultParagraphFont"/>
    <w:uiPriority w:val="99"/>
    <w:semiHidden/>
    <w:rsid w:val="00ED7B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arcconline.org/parcc-model-content-framework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Wheeler</dc:creator>
  <cp:lastModifiedBy>Erin Wheeler</cp:lastModifiedBy>
  <cp:revision>1</cp:revision>
  <dcterms:created xsi:type="dcterms:W3CDTF">2013-01-17T15:17:00Z</dcterms:created>
  <dcterms:modified xsi:type="dcterms:W3CDTF">2013-01-17T17:00:00Z</dcterms:modified>
</cp:coreProperties>
</file>